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rPr>
          <w:rFonts w:ascii="Times New Roman"/>
        </w:rPr>
      </w:pPr>
    </w:p>
    <w:p>
      <w:pPr>
        <w:pStyle w:val="BodyText"/>
        <w:spacing w:before="107"/>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pPr>
    </w:p>
    <w:p>
      <w:pPr>
        <w:pStyle w:val="BodyText"/>
        <w:spacing w:before="140"/>
      </w:pPr>
    </w:p>
    <w:p>
      <w:pPr>
        <w:pStyle w:val="Heading1"/>
        <w:spacing w:before="1"/>
        <w:ind w:right="497"/>
      </w:pP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spacing w:before="230"/>
        <w:ind w:left="3" w:right="0" w:firstLine="0"/>
        <w:jc w:val="left"/>
        <w:rPr>
          <w:b/>
          <w:sz w:val="20"/>
        </w:rPr>
      </w:pPr>
      <w:r>
        <w:rPr>
          <w:b/>
          <w:sz w:val="20"/>
        </w:rPr>
        <w:t>Begründung:</w:t>
      </w:r>
      <w:r>
        <w:rPr>
          <w:b/>
          <w:spacing w:val="-9"/>
          <w:sz w:val="20"/>
        </w:rPr>
        <w:t> </w:t>
      </w:r>
      <w:r>
        <w:rPr>
          <w:b/>
          <w:sz w:val="20"/>
        </w:rPr>
        <w:t>Windatlas</w:t>
      </w:r>
      <w:r>
        <w:rPr>
          <w:b/>
          <w:spacing w:val="-6"/>
          <w:sz w:val="20"/>
        </w:rPr>
        <w:t> </w:t>
      </w:r>
      <w:r>
        <w:rPr>
          <w:b/>
          <w:sz w:val="20"/>
        </w:rPr>
        <w:t>Baden-Württemberg</w:t>
      </w:r>
      <w:r>
        <w:rPr>
          <w:b/>
          <w:spacing w:val="-6"/>
          <w:sz w:val="20"/>
        </w:rPr>
        <w:t> </w:t>
      </w:r>
      <w:r>
        <w:rPr>
          <w:b/>
          <w:spacing w:val="-4"/>
          <w:sz w:val="20"/>
        </w:rPr>
        <w:t>2019</w:t>
      </w:r>
    </w:p>
    <w:p>
      <w:pPr>
        <w:pStyle w:val="BodyText"/>
        <w:spacing w:before="22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30"/>
        <w:ind w:left="3"/>
      </w:pPr>
      <w:r>
        <w:rPr/>
        <w:t>im</w:t>
      </w:r>
      <w:r>
        <w:rPr>
          <w:spacing w:val="-7"/>
        </w:rPr>
        <w:t> </w:t>
      </w:r>
      <w:r>
        <w:rPr/>
        <w:t>Rahmen</w:t>
      </w:r>
      <w:r>
        <w:rPr>
          <w:spacing w:val="-4"/>
        </w:rPr>
        <w:t> </w:t>
      </w:r>
      <w:r>
        <w:rPr/>
        <w:t>des</w:t>
      </w:r>
      <w:r>
        <w:rPr>
          <w:spacing w:val="-4"/>
        </w:rPr>
        <w:t> </w:t>
      </w:r>
      <w:r>
        <w:rPr/>
        <w:t>öffentlichen</w:t>
      </w:r>
      <w:r>
        <w:rPr>
          <w:spacing w:val="-5"/>
        </w:rPr>
        <w:t> </w:t>
      </w:r>
      <w:r>
        <w:rPr/>
        <w:t>Beteiligungsverfahrens</w:t>
      </w:r>
      <w:r>
        <w:rPr>
          <w:spacing w:val="-4"/>
        </w:rPr>
        <w:t> </w:t>
      </w:r>
      <w:r>
        <w:rPr/>
        <w:t>erhebe</w:t>
      </w:r>
      <w:r>
        <w:rPr>
          <w:spacing w:val="-4"/>
        </w:rPr>
        <w:t> </w:t>
      </w:r>
      <w:r>
        <w:rPr/>
        <w:t>ich</w:t>
      </w:r>
      <w:r>
        <w:rPr>
          <w:spacing w:val="-4"/>
        </w:rPr>
        <w:t> </w:t>
      </w:r>
      <w:r>
        <w:rPr>
          <w:spacing w:val="-2"/>
        </w:rPr>
        <w:t>Einwände:</w:t>
      </w:r>
    </w:p>
    <w:p>
      <w:pPr>
        <w:pStyle w:val="BodyText"/>
        <w:spacing w:before="230"/>
        <w:ind w:left="3"/>
      </w:pPr>
      <w:r>
        <w:rPr/>
        <w:t>Der aktuelle Windatlas Baden-Württemberg 2019 überbewertet die Windhöffigkeit in signifikantem Ausmaß</w:t>
      </w:r>
      <w:r>
        <w:rPr>
          <w:spacing w:val="-4"/>
        </w:rPr>
        <w:t> </w:t>
      </w:r>
      <w:r>
        <w:rPr/>
        <w:t>und</w:t>
      </w:r>
      <w:r>
        <w:rPr>
          <w:spacing w:val="-4"/>
        </w:rPr>
        <w:t> </w:t>
      </w:r>
      <w:r>
        <w:rPr/>
        <w:t>in</w:t>
      </w:r>
      <w:r>
        <w:rPr>
          <w:spacing w:val="-4"/>
        </w:rPr>
        <w:t> </w:t>
      </w:r>
      <w:r>
        <w:rPr/>
        <w:t>systematischer</w:t>
      </w:r>
      <w:r>
        <w:rPr>
          <w:spacing w:val="-4"/>
        </w:rPr>
        <w:t> </w:t>
      </w:r>
      <w:r>
        <w:rPr/>
        <w:t>Weise.</w:t>
      </w:r>
      <w:r>
        <w:rPr>
          <w:spacing w:val="-4"/>
        </w:rPr>
        <w:t> </w:t>
      </w:r>
      <w:r>
        <w:rPr/>
        <w:t>Der</w:t>
      </w:r>
      <w:r>
        <w:rPr>
          <w:spacing w:val="-4"/>
        </w:rPr>
        <w:t> </w:t>
      </w:r>
      <w:r>
        <w:rPr/>
        <w:t>Windatlas</w:t>
      </w:r>
      <w:r>
        <w:rPr>
          <w:spacing w:val="-4"/>
        </w:rPr>
        <w:t> </w:t>
      </w:r>
      <w:r>
        <w:rPr/>
        <w:t>Baden-Württemberg</w:t>
      </w:r>
      <w:r>
        <w:rPr>
          <w:spacing w:val="-4"/>
        </w:rPr>
        <w:t> </w:t>
      </w:r>
      <w:r>
        <w:rPr/>
        <w:t>ist</w:t>
      </w:r>
      <w:r>
        <w:rPr>
          <w:spacing w:val="-4"/>
        </w:rPr>
        <w:t> </w:t>
      </w:r>
      <w:r>
        <w:rPr/>
        <w:t>deshalb</w:t>
      </w:r>
      <w:r>
        <w:rPr>
          <w:spacing w:val="-4"/>
        </w:rPr>
        <w:t> </w:t>
      </w:r>
      <w:r>
        <w:rPr/>
        <w:t>für</w:t>
      </w:r>
      <w:r>
        <w:rPr>
          <w:spacing w:val="-4"/>
        </w:rPr>
        <w:t> </w:t>
      </w:r>
      <w:r>
        <w:rPr/>
        <w:t>die</w:t>
      </w:r>
      <w:r>
        <w:rPr>
          <w:spacing w:val="-4"/>
        </w:rPr>
        <w:t> </w:t>
      </w:r>
      <w:r>
        <w:rPr/>
        <w:t>Planung von den Windvorranggebieten ungeeignet.</w:t>
      </w:r>
    </w:p>
    <w:p>
      <w:pPr>
        <w:pStyle w:val="BodyText"/>
      </w:pPr>
    </w:p>
    <w:p>
      <w:pPr>
        <w:pStyle w:val="BodyText"/>
        <w:ind w:left="3"/>
      </w:pPr>
      <w:r>
        <w:rPr/>
        <w:t>Auch</w:t>
      </w:r>
      <w:r>
        <w:rPr>
          <w:spacing w:val="-1"/>
        </w:rPr>
        <w:t> </w:t>
      </w:r>
      <w:r>
        <w:rPr/>
        <w:t>werden</w:t>
      </w:r>
      <w:r>
        <w:rPr>
          <w:spacing w:val="-1"/>
        </w:rPr>
        <w:t> </w:t>
      </w:r>
      <w:r>
        <w:rPr/>
        <w:t>die</w:t>
      </w:r>
      <w:r>
        <w:rPr>
          <w:spacing w:val="-1"/>
        </w:rPr>
        <w:t> </w:t>
      </w:r>
      <w:r>
        <w:rPr/>
        <w:t>ausgewiesenen</w:t>
      </w:r>
      <w:r>
        <w:rPr>
          <w:spacing w:val="-1"/>
        </w:rPr>
        <w:t> </w:t>
      </w:r>
      <w:r>
        <w:rPr/>
        <w:t>Vorranggebiete</w:t>
      </w:r>
      <w:r>
        <w:rPr>
          <w:spacing w:val="-1"/>
        </w:rPr>
        <w:t> </w:t>
      </w:r>
      <w:r>
        <w:rPr/>
        <w:t>in</w:t>
      </w:r>
      <w:r>
        <w:rPr>
          <w:spacing w:val="-1"/>
        </w:rPr>
        <w:t> </w:t>
      </w:r>
      <w:r>
        <w:rPr/>
        <w:t>Bezug</w:t>
      </w:r>
      <w:r>
        <w:rPr>
          <w:spacing w:val="-1"/>
        </w:rPr>
        <w:t> </w:t>
      </w:r>
      <w:r>
        <w:rPr/>
        <w:t>auf</w:t>
      </w:r>
      <w:r>
        <w:rPr>
          <w:spacing w:val="-1"/>
        </w:rPr>
        <w:t> </w:t>
      </w:r>
      <w:r>
        <w:rPr/>
        <w:t>die</w:t>
      </w:r>
      <w:r>
        <w:rPr>
          <w:spacing w:val="-1"/>
        </w:rPr>
        <w:t> </w:t>
      </w:r>
      <w:r>
        <w:rPr/>
        <w:t>Windhöffigkeit</w:t>
      </w:r>
      <w:r>
        <w:rPr>
          <w:spacing w:val="-1"/>
        </w:rPr>
        <w:t> </w:t>
      </w:r>
      <w:r>
        <w:rPr/>
        <w:t>somit</w:t>
      </w:r>
      <w:r>
        <w:rPr>
          <w:spacing w:val="-1"/>
        </w:rPr>
        <w:t> </w:t>
      </w:r>
      <w:r>
        <w:rPr/>
        <w:t>vollkommen falsch bewertet: Ein Vergleich zwischen Windatlas Baden-Württemberg und Windatlas Bayern für Standorte,</w:t>
      </w:r>
      <w:r>
        <w:rPr>
          <w:spacing w:val="-4"/>
        </w:rPr>
        <w:t> </w:t>
      </w:r>
      <w:r>
        <w:rPr/>
        <w:t>die</w:t>
      </w:r>
      <w:r>
        <w:rPr>
          <w:spacing w:val="-4"/>
        </w:rPr>
        <w:t> </w:t>
      </w:r>
      <w:r>
        <w:rPr/>
        <w:t>nur</w:t>
      </w:r>
      <w:r>
        <w:rPr>
          <w:spacing w:val="-4"/>
        </w:rPr>
        <w:t> </w:t>
      </w:r>
      <w:r>
        <w:rPr/>
        <w:t>wenige</w:t>
      </w:r>
      <w:r>
        <w:rPr>
          <w:spacing w:val="-4"/>
        </w:rPr>
        <w:t> </w:t>
      </w:r>
      <w:r>
        <w:rPr/>
        <w:t>hundert</w:t>
      </w:r>
      <w:r>
        <w:rPr>
          <w:spacing w:val="-4"/>
        </w:rPr>
        <w:t> </w:t>
      </w:r>
      <w:r>
        <w:rPr/>
        <w:t>Meter</w:t>
      </w:r>
      <w:r>
        <w:rPr>
          <w:spacing w:val="-4"/>
        </w:rPr>
        <w:t> </w:t>
      </w:r>
      <w:r>
        <w:rPr/>
        <w:t>auseinander</w:t>
      </w:r>
      <w:r>
        <w:rPr>
          <w:spacing w:val="-4"/>
        </w:rPr>
        <w:t> </w:t>
      </w:r>
      <w:r>
        <w:rPr/>
        <w:t>liegen</w:t>
      </w:r>
      <w:r>
        <w:rPr>
          <w:spacing w:val="-4"/>
        </w:rPr>
        <w:t> </w:t>
      </w:r>
      <w:r>
        <w:rPr/>
        <w:t>(beidseitig</w:t>
      </w:r>
      <w:r>
        <w:rPr>
          <w:spacing w:val="-4"/>
        </w:rPr>
        <w:t> </w:t>
      </w:r>
      <w:r>
        <w:rPr/>
        <w:t>entlang</w:t>
      </w:r>
      <w:r>
        <w:rPr>
          <w:spacing w:val="-4"/>
        </w:rPr>
        <w:t> </w:t>
      </w:r>
      <w:r>
        <w:rPr/>
        <w:t>der</w:t>
      </w:r>
      <w:r>
        <w:rPr>
          <w:spacing w:val="-4"/>
        </w:rPr>
        <w:t> </w:t>
      </w:r>
      <w:r>
        <w:rPr/>
        <w:t>Landes-Grenze) und vergleichbar sind in Bezug auf Meereshöhe und Topographie, ergibt drastische Unterschiede</w:t>
      </w:r>
    </w:p>
    <w:p>
      <w:pPr>
        <w:pStyle w:val="ListParagraph"/>
        <w:numPr>
          <w:ilvl w:val="0"/>
          <w:numId w:val="1"/>
        </w:numPr>
        <w:tabs>
          <w:tab w:pos="286" w:val="left" w:leader="none"/>
        </w:tabs>
        <w:spacing w:line="238" w:lineRule="exact" w:before="216" w:after="0"/>
        <w:ind w:left="286" w:right="0" w:hanging="283"/>
        <w:jc w:val="left"/>
        <w:rPr>
          <w:sz w:val="20"/>
        </w:rPr>
      </w:pPr>
      <w:r>
        <w:rPr>
          <w:sz w:val="20"/>
        </w:rPr>
        <w:t>in</w:t>
      </w:r>
      <w:r>
        <w:rPr>
          <w:spacing w:val="-10"/>
          <w:sz w:val="20"/>
        </w:rPr>
        <w:t> </w:t>
      </w:r>
      <w:r>
        <w:rPr>
          <w:sz w:val="20"/>
        </w:rPr>
        <w:t>der</w:t>
      </w:r>
      <w:r>
        <w:rPr>
          <w:spacing w:val="-8"/>
          <w:sz w:val="20"/>
        </w:rPr>
        <w:t> </w:t>
      </w:r>
      <w:r>
        <w:rPr>
          <w:sz w:val="20"/>
        </w:rPr>
        <w:t>mittleren</w:t>
      </w:r>
      <w:r>
        <w:rPr>
          <w:spacing w:val="-8"/>
          <w:sz w:val="20"/>
        </w:rPr>
        <w:t> </w:t>
      </w:r>
      <w:r>
        <w:rPr>
          <w:sz w:val="20"/>
        </w:rPr>
        <w:t>Windgeschwindigkeit</w:t>
      </w:r>
      <w:r>
        <w:rPr>
          <w:spacing w:val="-7"/>
          <w:sz w:val="20"/>
        </w:rPr>
        <w:t> </w:t>
      </w:r>
      <w:r>
        <w:rPr>
          <w:spacing w:val="-5"/>
          <w:sz w:val="20"/>
        </w:rPr>
        <w:t>und</w:t>
      </w:r>
    </w:p>
    <w:p>
      <w:pPr>
        <w:pStyle w:val="ListParagraph"/>
        <w:numPr>
          <w:ilvl w:val="0"/>
          <w:numId w:val="1"/>
        </w:numPr>
        <w:tabs>
          <w:tab w:pos="286" w:val="left" w:leader="none"/>
        </w:tabs>
        <w:spacing w:line="238" w:lineRule="exact" w:before="0" w:after="0"/>
        <w:ind w:left="286" w:right="0" w:hanging="283"/>
        <w:jc w:val="left"/>
        <w:rPr>
          <w:sz w:val="20"/>
        </w:rPr>
      </w:pPr>
      <w:r>
        <w:rPr>
          <w:sz w:val="20"/>
        </w:rPr>
        <w:t>in</w:t>
      </w:r>
      <w:r>
        <w:rPr>
          <w:spacing w:val="-6"/>
          <w:sz w:val="20"/>
        </w:rPr>
        <w:t> </w:t>
      </w:r>
      <w:r>
        <w:rPr>
          <w:sz w:val="20"/>
        </w:rPr>
        <w:t>der</w:t>
      </w:r>
      <w:r>
        <w:rPr>
          <w:spacing w:val="-5"/>
          <w:sz w:val="20"/>
        </w:rPr>
        <w:t> </w:t>
      </w:r>
      <w:r>
        <w:rPr>
          <w:sz w:val="20"/>
        </w:rPr>
        <w:t>mittleren</w:t>
      </w:r>
      <w:r>
        <w:rPr>
          <w:spacing w:val="-5"/>
          <w:sz w:val="20"/>
        </w:rPr>
        <w:t> </w:t>
      </w:r>
      <w:r>
        <w:rPr>
          <w:sz w:val="20"/>
        </w:rPr>
        <w:t>gekappten</w:t>
      </w:r>
      <w:r>
        <w:rPr>
          <w:spacing w:val="-5"/>
          <w:sz w:val="20"/>
        </w:rPr>
        <w:t> </w:t>
      </w:r>
      <w:r>
        <w:rPr>
          <w:spacing w:val="-2"/>
          <w:sz w:val="20"/>
        </w:rPr>
        <w:t>Windleistungsdichte.</w:t>
      </w:r>
    </w:p>
    <w:p>
      <w:pPr>
        <w:pStyle w:val="BodyText"/>
      </w:pPr>
    </w:p>
    <w:p>
      <w:pPr>
        <w:pStyle w:val="BodyText"/>
        <w:ind w:left="3" w:right="497"/>
      </w:pPr>
      <w:r>
        <w:rPr/>
        <w:t>Diese</w:t>
      </w:r>
      <w:r>
        <w:rPr>
          <w:spacing w:val="-3"/>
        </w:rPr>
        <w:t> </w:t>
      </w:r>
      <w:r>
        <w:rPr/>
        <w:t>Unterschiede</w:t>
      </w:r>
      <w:r>
        <w:rPr>
          <w:spacing w:val="-3"/>
        </w:rPr>
        <w:t> </w:t>
      </w:r>
      <w:r>
        <w:rPr/>
        <w:t>können</w:t>
      </w:r>
      <w:r>
        <w:rPr>
          <w:spacing w:val="-3"/>
        </w:rPr>
        <w:t> </w:t>
      </w:r>
      <w:r>
        <w:rPr/>
        <w:t>fast</w:t>
      </w:r>
      <w:r>
        <w:rPr>
          <w:spacing w:val="-3"/>
        </w:rPr>
        <w:t> </w:t>
      </w:r>
      <w:r>
        <w:rPr/>
        <w:t>bis</w:t>
      </w:r>
      <w:r>
        <w:rPr>
          <w:spacing w:val="-3"/>
        </w:rPr>
        <w:t> </w:t>
      </w:r>
      <w:r>
        <w:rPr/>
        <w:t>zu</w:t>
      </w:r>
      <w:r>
        <w:rPr>
          <w:spacing w:val="-3"/>
        </w:rPr>
        <w:t> </w:t>
      </w:r>
      <w:r>
        <w:rPr/>
        <w:t>Faktor</w:t>
      </w:r>
      <w:r>
        <w:rPr>
          <w:spacing w:val="-3"/>
        </w:rPr>
        <w:t> </w:t>
      </w:r>
      <w:r>
        <w:rPr/>
        <w:t>2</w:t>
      </w:r>
      <w:r>
        <w:rPr>
          <w:spacing w:val="-3"/>
        </w:rPr>
        <w:t> </w:t>
      </w:r>
      <w:r>
        <w:rPr/>
        <w:t>reichen.</w:t>
      </w:r>
      <w:r>
        <w:rPr>
          <w:spacing w:val="-3"/>
        </w:rPr>
        <w:t> </w:t>
      </w:r>
      <w:r>
        <w:rPr/>
        <w:t>Dies</w:t>
      </w:r>
      <w:r>
        <w:rPr>
          <w:spacing w:val="-3"/>
        </w:rPr>
        <w:t> </w:t>
      </w:r>
      <w:r>
        <w:rPr/>
        <w:t>wird</w:t>
      </w:r>
      <w:r>
        <w:rPr>
          <w:spacing w:val="-3"/>
        </w:rPr>
        <w:t> </w:t>
      </w:r>
      <w:r>
        <w:rPr/>
        <w:t>in</w:t>
      </w:r>
      <w:r>
        <w:rPr>
          <w:spacing w:val="-3"/>
        </w:rPr>
        <w:t> </w:t>
      </w:r>
      <w:r>
        <w:rPr/>
        <w:t>der</w:t>
      </w:r>
      <w:r>
        <w:rPr>
          <w:spacing w:val="-3"/>
        </w:rPr>
        <w:t> </w:t>
      </w:r>
      <w:r>
        <w:rPr/>
        <w:t>folgenden</w:t>
      </w:r>
      <w:r>
        <w:rPr>
          <w:spacing w:val="-3"/>
        </w:rPr>
        <w:t> </w:t>
      </w:r>
      <w:r>
        <w:rPr/>
        <w:t>Studie eindrücklich dargestellt:</w:t>
      </w:r>
    </w:p>
    <w:p>
      <w:pPr>
        <w:pStyle w:val="BodyText"/>
      </w:pPr>
    </w:p>
    <w:p>
      <w:pPr>
        <w:pStyle w:val="BodyText"/>
        <w:ind w:left="3" w:right="99"/>
      </w:pPr>
      <w:r>
        <w:rPr/>
        <w:t>„Der Windatlas Baden-Württemberg 2019 und der bayerische Windatlas 2021 im direkten Vergleich entlang der Landesgrenze“. </w:t>
      </w:r>
      <w:hyperlink r:id="rId5">
        <w:r>
          <w:rPr>
            <w:color w:val="0462C0"/>
            <w:spacing w:val="-2"/>
            <w:u w:val="single" w:color="0462C0"/>
          </w:rPr>
          <w:t>https://www.researchgate.net/publication/376407560_Der_Windatlas_Baden-</w:t>
        </w:r>
      </w:hyperlink>
      <w:r>
        <w:rPr>
          <w:color w:val="0462C0"/>
          <w:spacing w:val="-2"/>
          <w:u w:val="none"/>
        </w:rPr>
        <w:t> </w:t>
      </w:r>
      <w:hyperlink r:id="rId5">
        <w:r>
          <w:rPr>
            <w:color w:val="0462C0"/>
            <w:spacing w:val="-2"/>
            <w:u w:val="single" w:color="0462C0"/>
          </w:rPr>
          <w:t>Wurttemberg_2019_und_der_bayerische_Windatlas_2021_im_direkten_Vergleich_entlang_der_Land</w:t>
        </w:r>
      </w:hyperlink>
      <w:r>
        <w:rPr>
          <w:color w:val="0462C0"/>
          <w:spacing w:val="-2"/>
          <w:u w:val="none"/>
        </w:rPr>
        <w:t> </w:t>
      </w:r>
      <w:hyperlink r:id="rId5">
        <w:r>
          <w:rPr>
            <w:color w:val="0462C0"/>
            <w:spacing w:val="-2"/>
            <w:u w:val="single" w:color="0462C0"/>
          </w:rPr>
          <w:t>esgrenze?channel=doi&amp;linkId=65773693ea5f7f02055f8238&amp;showFulltext=true</w:t>
        </w:r>
      </w:hyperlink>
    </w:p>
    <w:p>
      <w:pPr>
        <w:pStyle w:val="BodyText"/>
      </w:pPr>
    </w:p>
    <w:p>
      <w:pPr>
        <w:pStyle w:val="BodyText"/>
        <w:ind w:left="3" w:right="14"/>
      </w:pPr>
      <w:r>
        <w:rPr/>
        <w:t>Für Isny im</w:t>
      </w:r>
      <w:r>
        <w:rPr>
          <w:spacing w:val="-6"/>
        </w:rPr>
        <w:t> </w:t>
      </w:r>
      <w:r>
        <w:rPr/>
        <w:t>Allgäu gibt der Windatlas BW</w:t>
      </w:r>
      <w:r>
        <w:rPr>
          <w:spacing w:val="69"/>
        </w:rPr>
        <w:t> </w:t>
      </w:r>
      <w:r>
        <w:rPr/>
        <w:t>die mittlere gekappte Windleistungsdichte um 63 % höher an als der Windatlas Bayern (bei gerade mal 382 m Entfernung der Standorte). In Leutkirch gibt der Windatlas BW die mittlere gekappte Windleistungsdichte um 87 % höher an als der Windatlas Bayern (bei gerade mal 306 m Entfernung der Standorte). Sowohl physikalische Begründungen als auch geographische Begründungen gibt es für die eklatanten Unterschiede nicht. Der Wind ändert nicht direkt an der Landesgrenze abrupt sein energetisches Potenzial! Da die beiden Windatlasse nicht kompatibel</w:t>
      </w:r>
      <w:r>
        <w:rPr>
          <w:spacing w:val="-4"/>
        </w:rPr>
        <w:t> </w:t>
      </w:r>
      <w:r>
        <w:rPr/>
        <w:t>und</w:t>
      </w:r>
      <w:r>
        <w:rPr>
          <w:spacing w:val="-4"/>
        </w:rPr>
        <w:t> </w:t>
      </w:r>
      <w:r>
        <w:rPr/>
        <w:t>verlässlich</w:t>
      </w:r>
      <w:r>
        <w:rPr>
          <w:spacing w:val="-4"/>
        </w:rPr>
        <w:t> </w:t>
      </w:r>
      <w:r>
        <w:rPr/>
        <w:t>sind,</w:t>
      </w:r>
      <w:r>
        <w:rPr>
          <w:spacing w:val="-4"/>
        </w:rPr>
        <w:t> </w:t>
      </w:r>
      <w:r>
        <w:rPr/>
        <w:t>müssen</w:t>
      </w:r>
      <w:r>
        <w:rPr>
          <w:spacing w:val="-4"/>
        </w:rPr>
        <w:t> </w:t>
      </w:r>
      <w:r>
        <w:rPr/>
        <w:t>systematische</w:t>
      </w:r>
      <w:r>
        <w:rPr>
          <w:spacing w:val="-4"/>
        </w:rPr>
        <w:t> </w:t>
      </w:r>
      <w:r>
        <w:rPr/>
        <w:t>und</w:t>
      </w:r>
      <w:r>
        <w:rPr>
          <w:spacing w:val="-4"/>
        </w:rPr>
        <w:t> </w:t>
      </w:r>
      <w:r>
        <w:rPr/>
        <w:t>prinzipbedingte</w:t>
      </w:r>
      <w:r>
        <w:rPr>
          <w:spacing w:val="-4"/>
        </w:rPr>
        <w:t> </w:t>
      </w:r>
      <w:r>
        <w:rPr/>
        <w:t>Mängel</w:t>
      </w:r>
      <w:r>
        <w:rPr>
          <w:spacing w:val="-4"/>
        </w:rPr>
        <w:t> </w:t>
      </w:r>
      <w:r>
        <w:rPr/>
        <w:t>vorliegen.</w:t>
      </w:r>
      <w:r>
        <w:rPr>
          <w:spacing w:val="-4"/>
        </w:rPr>
        <w:t> </w:t>
      </w:r>
      <w:r>
        <w:rPr/>
        <w:t>Dies</w:t>
      </w:r>
      <w:r>
        <w:rPr>
          <w:spacing w:val="-4"/>
        </w:rPr>
        <w:t> </w:t>
      </w:r>
      <w:r>
        <w:rPr/>
        <w:t>ist nicht nur an der Landesgrenze der Fall, sondern im gesamten Gebiet von Baden-Württemberg.</w:t>
      </w:r>
    </w:p>
    <w:p>
      <w:pPr>
        <w:pStyle w:val="BodyText"/>
      </w:pPr>
    </w:p>
    <w:p>
      <w:pPr>
        <w:spacing w:before="0"/>
        <w:ind w:left="3" w:right="0" w:firstLine="0"/>
        <w:jc w:val="left"/>
        <w:rPr>
          <w:sz w:val="20"/>
        </w:rPr>
      </w:pPr>
      <w:r>
        <w:rPr>
          <w:spacing w:val="-10"/>
          <w:sz w:val="20"/>
        </w:rPr>
        <w:t>…</w:t>
      </w:r>
    </w:p>
    <w:p>
      <w:pPr>
        <w:pStyle w:val="BodyText"/>
      </w:pPr>
    </w:p>
    <w:p>
      <w:pPr>
        <w:pStyle w:val="BodyText"/>
      </w:pPr>
    </w:p>
    <w:p>
      <w:pPr>
        <w:pStyle w:val="BodyText"/>
      </w:pPr>
    </w:p>
    <w:p>
      <w:pPr>
        <w:pStyle w:val="BodyText"/>
      </w:pPr>
    </w:p>
    <w:p>
      <w:pPr>
        <w:pStyle w:val="BodyText"/>
        <w:ind w:left="3"/>
        <w:jc w:val="center"/>
      </w:pPr>
      <w:r>
        <w:rPr/>
        <w:t>-</w:t>
      </w:r>
      <w:r>
        <w:rPr>
          <w:spacing w:val="-1"/>
        </w:rPr>
        <w:t> </w:t>
      </w:r>
      <w:r>
        <w:rPr/>
        <w:t>2</w:t>
      </w:r>
      <w:r>
        <w:rPr>
          <w:spacing w:val="-1"/>
        </w:rPr>
        <w:t> </w:t>
      </w:r>
      <w:r>
        <w:rPr>
          <w:spacing w:val="-10"/>
        </w:rPr>
        <w:t>-</w:t>
      </w:r>
    </w:p>
    <w:p>
      <w:pPr>
        <w:pStyle w:val="BodyText"/>
        <w:spacing w:after="0"/>
        <w:jc w:val="center"/>
        <w:sectPr>
          <w:type w:val="continuous"/>
          <w:pgSz w:w="11910" w:h="16840"/>
          <w:pgMar w:top="840" w:bottom="280" w:left="1417" w:right="1417"/>
        </w:sectPr>
      </w:pPr>
    </w:p>
    <w:p>
      <w:pPr>
        <w:pStyle w:val="BodyText"/>
        <w:spacing w:before="72"/>
        <w:ind w:left="3"/>
      </w:pPr>
      <w:r>
        <w:rPr/>
        <w:t>Da</w:t>
      </w:r>
      <w:r>
        <w:rPr>
          <w:spacing w:val="-5"/>
        </w:rPr>
        <w:t> </w:t>
      </w:r>
      <w:r>
        <w:rPr/>
        <w:t>die</w:t>
      </w:r>
      <w:r>
        <w:rPr>
          <w:spacing w:val="-5"/>
        </w:rPr>
        <w:t> </w:t>
      </w:r>
      <w:r>
        <w:rPr/>
        <w:t>Ertragsprognosen</w:t>
      </w:r>
      <w:r>
        <w:rPr>
          <w:spacing w:val="-5"/>
        </w:rPr>
        <w:t> </w:t>
      </w:r>
      <w:r>
        <w:rPr/>
        <w:t>für</w:t>
      </w:r>
      <w:r>
        <w:rPr>
          <w:spacing w:val="-5"/>
        </w:rPr>
        <w:t> </w:t>
      </w:r>
      <w:r>
        <w:rPr/>
        <w:t>Windindustrieanlagen</w:t>
      </w:r>
      <w:r>
        <w:rPr>
          <w:spacing w:val="-5"/>
        </w:rPr>
        <w:t> </w:t>
      </w:r>
      <w:r>
        <w:rPr/>
        <w:t>in</w:t>
      </w:r>
      <w:r>
        <w:rPr>
          <w:spacing w:val="-5"/>
        </w:rPr>
        <w:t> </w:t>
      </w:r>
      <w:r>
        <w:rPr/>
        <w:t>Baden-Württemberg</w:t>
      </w:r>
      <w:r>
        <w:rPr>
          <w:spacing w:val="-5"/>
        </w:rPr>
        <w:t> </w:t>
      </w:r>
      <w:r>
        <w:rPr/>
        <w:t>sich</w:t>
      </w:r>
      <w:r>
        <w:rPr>
          <w:spacing w:val="-5"/>
        </w:rPr>
        <w:t> </w:t>
      </w:r>
      <w:r>
        <w:rPr/>
        <w:t>nahezu</w:t>
      </w:r>
      <w:r>
        <w:rPr>
          <w:spacing w:val="-5"/>
        </w:rPr>
        <w:t> </w:t>
      </w:r>
      <w:r>
        <w:rPr/>
        <w:t>durchgehend für die bereits realisierten Windindustrieanlagen als zu hoch erwiesen haben, zeigt dies, dass der Windatlas Baden-Württemberg im Vergleich zum Windatlas Bayern unrealistisch ist.</w:t>
      </w:r>
    </w:p>
    <w:p>
      <w:pPr>
        <w:pStyle w:val="BodyText"/>
      </w:pPr>
    </w:p>
    <w:p>
      <w:pPr>
        <w:pStyle w:val="BodyText"/>
        <w:ind w:left="3"/>
      </w:pPr>
      <w:r>
        <w:rPr/>
        <w:t>Für eine Planung und</w:t>
      </w:r>
      <w:r>
        <w:rPr>
          <w:spacing w:val="-4"/>
        </w:rPr>
        <w:t> </w:t>
      </w:r>
      <w:r>
        <w:rPr/>
        <w:t>Ausweisung sind die Daten des Windatlas Baden-Württemberg deshalb fragwürdig</w:t>
      </w:r>
      <w:r>
        <w:rPr>
          <w:spacing w:val="-5"/>
        </w:rPr>
        <w:t> </w:t>
      </w:r>
      <w:r>
        <w:rPr/>
        <w:t>und</w:t>
      </w:r>
      <w:r>
        <w:rPr>
          <w:spacing w:val="-5"/>
        </w:rPr>
        <w:t> </w:t>
      </w:r>
      <w:r>
        <w:rPr/>
        <w:t>untauglich.</w:t>
      </w:r>
      <w:r>
        <w:rPr>
          <w:spacing w:val="-5"/>
        </w:rPr>
        <w:t> </w:t>
      </w:r>
      <w:r>
        <w:rPr/>
        <w:t>Die</w:t>
      </w:r>
      <w:r>
        <w:rPr>
          <w:spacing w:val="-5"/>
        </w:rPr>
        <w:t> </w:t>
      </w:r>
      <w:r>
        <w:rPr/>
        <w:t>von</w:t>
      </w:r>
      <w:r>
        <w:rPr>
          <w:spacing w:val="-5"/>
        </w:rPr>
        <w:t> </w:t>
      </w:r>
      <w:r>
        <w:rPr/>
        <w:t>Ihnen</w:t>
      </w:r>
      <w:r>
        <w:rPr>
          <w:spacing w:val="-5"/>
        </w:rPr>
        <w:t> </w:t>
      </w:r>
      <w:r>
        <w:rPr/>
        <w:t>adressierten</w:t>
      </w:r>
      <w:r>
        <w:rPr>
          <w:spacing w:val="-5"/>
        </w:rPr>
        <w:t> </w:t>
      </w:r>
      <w:r>
        <w:rPr/>
        <w:t>Vorranggebiete</w:t>
      </w:r>
      <w:r>
        <w:rPr>
          <w:spacing w:val="-5"/>
        </w:rPr>
        <w:t> </w:t>
      </w:r>
      <w:r>
        <w:rPr/>
        <w:t>lehne</w:t>
      </w:r>
      <w:r>
        <w:rPr>
          <w:spacing w:val="-5"/>
        </w:rPr>
        <w:t> </w:t>
      </w:r>
      <w:r>
        <w:rPr/>
        <w:t>ich</w:t>
      </w:r>
      <w:r>
        <w:rPr>
          <w:spacing w:val="-5"/>
        </w:rPr>
        <w:t> </w:t>
      </w:r>
      <w:r>
        <w:rPr/>
        <w:t>aus</w:t>
      </w:r>
      <w:r>
        <w:rPr>
          <w:spacing w:val="-5"/>
        </w:rPr>
        <w:t> </w:t>
      </w:r>
      <w:r>
        <w:rPr/>
        <w:t>diesem</w:t>
      </w:r>
      <w:r>
        <w:rPr>
          <w:spacing w:val="-5"/>
        </w:rPr>
        <w:t> </w:t>
      </w:r>
      <w:r>
        <w:rPr/>
        <w:t>Grund auch ab.</w:t>
      </w:r>
    </w:p>
    <w:p>
      <w:pPr>
        <w:pStyle w:val="BodyText"/>
      </w:pPr>
    </w:p>
    <w:p>
      <w:pPr>
        <w:pStyle w:val="BodyText"/>
        <w:ind w:left="3"/>
      </w:pPr>
      <w:r>
        <w:rPr/>
        <w:t>Ich</w:t>
      </w:r>
      <w:r>
        <w:rPr>
          <w:spacing w:val="-4"/>
        </w:rPr>
        <w:t> </w:t>
      </w:r>
      <w:r>
        <w:rPr/>
        <w:t>fordere</w:t>
      </w:r>
      <w:r>
        <w:rPr>
          <w:spacing w:val="-4"/>
        </w:rPr>
        <w:t> </w:t>
      </w:r>
      <w:r>
        <w:rPr/>
        <w:t>Sie</w:t>
      </w:r>
      <w:r>
        <w:rPr>
          <w:spacing w:val="-4"/>
        </w:rPr>
        <w:t> </w:t>
      </w:r>
      <w:r>
        <w:rPr/>
        <w:t>hiermit</w:t>
      </w:r>
      <w:r>
        <w:rPr>
          <w:spacing w:val="-4"/>
        </w:rPr>
        <w:t> </w:t>
      </w:r>
      <w:r>
        <w:rPr/>
        <w:t>auf,</w:t>
      </w:r>
      <w:r>
        <w:rPr>
          <w:spacing w:val="-4"/>
        </w:rPr>
        <w:t> </w:t>
      </w:r>
      <w:r>
        <w:rPr/>
        <w:t>die</w:t>
      </w:r>
      <w:r>
        <w:rPr>
          <w:spacing w:val="-4"/>
        </w:rPr>
        <w:t> </w:t>
      </w:r>
      <w:r>
        <w:rPr/>
        <w:t>Planung</w:t>
      </w:r>
      <w:r>
        <w:rPr>
          <w:spacing w:val="-4"/>
        </w:rPr>
        <w:t> </w:t>
      </w:r>
      <w:r>
        <w:rPr/>
        <w:t>NICHT</w:t>
      </w:r>
      <w:r>
        <w:rPr>
          <w:spacing w:val="-7"/>
        </w:rPr>
        <w:t> </w:t>
      </w:r>
      <w:r>
        <w:rPr/>
        <w:t>auf</w:t>
      </w:r>
      <w:r>
        <w:rPr>
          <w:spacing w:val="-4"/>
        </w:rPr>
        <w:t> </w:t>
      </w:r>
      <w:r>
        <w:rPr/>
        <w:t>unrealistischen</w:t>
      </w:r>
      <w:r>
        <w:rPr>
          <w:spacing w:val="-14"/>
        </w:rPr>
        <w:t> </w:t>
      </w:r>
      <w:r>
        <w:rPr/>
        <w:t>Annahmen</w:t>
      </w:r>
      <w:r>
        <w:rPr>
          <w:spacing w:val="-4"/>
        </w:rPr>
        <w:t> </w:t>
      </w:r>
      <w:r>
        <w:rPr/>
        <w:t>und</w:t>
      </w:r>
      <w:r>
        <w:rPr>
          <w:spacing w:val="-4"/>
        </w:rPr>
        <w:t> </w:t>
      </w:r>
      <w:r>
        <w:rPr/>
        <w:t>durch</w:t>
      </w:r>
      <w:r>
        <w:rPr>
          <w:spacing w:val="-4"/>
        </w:rPr>
        <w:t> </w:t>
      </w:r>
      <w:r>
        <w:rPr/>
        <w:t>Simulation schöngerechnete Windhöffigkeit zu gründen.</w:t>
      </w:r>
    </w:p>
    <w:p>
      <w:pPr>
        <w:pStyle w:val="BodyText"/>
      </w:pPr>
    </w:p>
    <w:p>
      <w:pPr>
        <w:pStyle w:val="BodyText"/>
        <w:spacing w:before="1"/>
        <w:ind w:left="3"/>
      </w:pPr>
      <w:r>
        <w:rPr/>
        <w:t>Zudem</w:t>
      </w:r>
      <w:r>
        <w:rPr>
          <w:spacing w:val="-4"/>
        </w:rPr>
        <w:t> </w:t>
      </w:r>
      <w:r>
        <w:rPr/>
        <w:t>fordere</w:t>
      </w:r>
      <w:r>
        <w:rPr>
          <w:spacing w:val="-4"/>
        </w:rPr>
        <w:t> </w:t>
      </w:r>
      <w:r>
        <w:rPr/>
        <w:t>ich</w:t>
      </w:r>
      <w:r>
        <w:rPr>
          <w:spacing w:val="-4"/>
        </w:rPr>
        <w:t> </w:t>
      </w:r>
      <w:r>
        <w:rPr/>
        <w:t>Sie</w:t>
      </w:r>
      <w:r>
        <w:rPr>
          <w:spacing w:val="-4"/>
        </w:rPr>
        <w:t> </w:t>
      </w:r>
      <w:r>
        <w:rPr/>
        <w:t>auf,</w:t>
      </w:r>
      <w:r>
        <w:rPr>
          <w:spacing w:val="-4"/>
        </w:rPr>
        <w:t> </w:t>
      </w:r>
      <w:r>
        <w:rPr/>
        <w:t>reale</w:t>
      </w:r>
      <w:r>
        <w:rPr>
          <w:spacing w:val="-4"/>
        </w:rPr>
        <w:t> </w:t>
      </w:r>
      <w:r>
        <w:rPr/>
        <w:t>Windmessungen</w:t>
      </w:r>
      <w:r>
        <w:rPr>
          <w:spacing w:val="-4"/>
        </w:rPr>
        <w:t> </w:t>
      </w:r>
      <w:r>
        <w:rPr/>
        <w:t>mit</w:t>
      </w:r>
      <w:r>
        <w:rPr>
          <w:spacing w:val="-4"/>
        </w:rPr>
        <w:t> </w:t>
      </w:r>
      <w:r>
        <w:rPr/>
        <w:t>Windmess-Masten</w:t>
      </w:r>
      <w:r>
        <w:rPr>
          <w:spacing w:val="-4"/>
        </w:rPr>
        <w:t> </w:t>
      </w:r>
      <w:r>
        <w:rPr/>
        <w:t>durchzuführen,</w:t>
      </w:r>
      <w:r>
        <w:rPr>
          <w:spacing w:val="-4"/>
        </w:rPr>
        <w:t> </w:t>
      </w:r>
      <w:r>
        <w:rPr/>
        <w:t>um</w:t>
      </w:r>
      <w:r>
        <w:rPr>
          <w:spacing w:val="-4"/>
        </w:rPr>
        <w:t> </w:t>
      </w:r>
      <w:r>
        <w:rPr/>
        <w:t>eine verlässliche Grundlage für die Planung zu erhalten.</w:t>
      </w:r>
    </w:p>
    <w:p>
      <w:pPr>
        <w:pStyle w:val="BodyText"/>
        <w:spacing w:before="230"/>
        <w:ind w:left="3"/>
      </w:pPr>
      <w:r>
        <w:rPr/>
        <w:t>Aus den genannten Gründen, weise ich den Planentwurf zurück. Ich bitte Sie um eine Empfangs- bestätigung</w:t>
      </w:r>
      <w:r>
        <w:rPr>
          <w:spacing w:val="-4"/>
        </w:rPr>
        <w:t> </w:t>
      </w:r>
      <w:r>
        <w:rPr/>
        <w:t>und</w:t>
      </w:r>
      <w:r>
        <w:rPr>
          <w:spacing w:val="-4"/>
        </w:rPr>
        <w:t> </w:t>
      </w:r>
      <w:r>
        <w:rPr/>
        <w:t>eine</w:t>
      </w:r>
      <w:r>
        <w:rPr>
          <w:spacing w:val="-4"/>
        </w:rPr>
        <w:t> </w:t>
      </w:r>
      <w:r>
        <w:rPr/>
        <w:t>wissenschaftlich</w:t>
      </w:r>
      <w:r>
        <w:rPr>
          <w:spacing w:val="-4"/>
        </w:rPr>
        <w:t> </w:t>
      </w:r>
      <w:r>
        <w:rPr/>
        <w:t>fundierte</w:t>
      </w:r>
      <w:r>
        <w:rPr>
          <w:spacing w:val="-4"/>
        </w:rPr>
        <w:t> </w:t>
      </w:r>
      <w:r>
        <w:rPr/>
        <w:t>Stellungnahme</w:t>
      </w:r>
      <w:r>
        <w:rPr>
          <w:spacing w:val="-4"/>
        </w:rPr>
        <w:t> </w:t>
      </w:r>
      <w:r>
        <w:rPr/>
        <w:t>zu</w:t>
      </w:r>
      <w:r>
        <w:rPr>
          <w:spacing w:val="-4"/>
        </w:rPr>
        <w:t> </w:t>
      </w:r>
      <w:r>
        <w:rPr/>
        <w:t>allen</w:t>
      </w:r>
      <w:r>
        <w:rPr>
          <w:spacing w:val="-4"/>
        </w:rPr>
        <w:t> </w:t>
      </w:r>
      <w:r>
        <w:rPr/>
        <w:t>Punkten</w:t>
      </w:r>
      <w:r>
        <w:rPr>
          <w:spacing w:val="-4"/>
        </w:rPr>
        <w:t> </w:t>
      </w:r>
      <w:r>
        <w:rPr/>
        <w:t>meiner</w:t>
      </w:r>
      <w:r>
        <w:rPr>
          <w:spacing w:val="-4"/>
        </w:rPr>
        <w:t> </w:t>
      </w:r>
      <w:r>
        <w:rPr/>
        <w:t>Einwendung an die o.a. Adresse.</w:t>
      </w:r>
    </w:p>
    <w:p>
      <w:pPr>
        <w:pStyle w:val="BodyText"/>
        <w:spacing w:before="230"/>
        <w:ind w:left="3"/>
      </w:pPr>
      <w:r>
        <w:rPr/>
        <w:t>Mit</w:t>
      </w:r>
      <w:r>
        <w:rPr>
          <w:spacing w:val="-8"/>
        </w:rPr>
        <w:t> </w:t>
      </w:r>
      <w:r>
        <w:rPr/>
        <w:t>freundlichen</w:t>
      </w:r>
      <w:r>
        <w:rPr>
          <w:spacing w:val="-7"/>
        </w:rPr>
        <w:t> </w:t>
      </w:r>
      <w:r>
        <w:rPr>
          <w:spacing w:val="-2"/>
        </w:rPr>
        <w:t>Grüßen</w:t>
      </w:r>
    </w:p>
    <w:p>
      <w:pPr>
        <w:pStyle w:val="BodyText"/>
      </w:pPr>
    </w:p>
    <w:p>
      <w:pPr>
        <w:pStyle w:val="BodyText"/>
        <w:spacing w:before="196"/>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286334</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2.545986pt;width:116.8pt;height:.1pt;mso-position-horizontal-relative:page;mso-position-vertical-relative:paragraph;z-index:-15728128;mso-wrap-distance-left:0;mso-wrap-distance-right:0" id="docshape2" coordorigin="1420,451" coordsize="2336,0" path="m1420,451l3755,45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286334</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2.545986pt;width:150.15pt;height:.1pt;mso-position-horizontal-relative:page;mso-position-vertical-relative:paragraph;z-index:-15727616;mso-wrap-distance-left:0;mso-wrap-distance-right:0" id="docshape3" coordorigin="5668,451" coordsize="3003,0" path="m5668,451l8670,45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pgSz w:w="11910" w:h="16840"/>
      <w:pgMar w:top="122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287" w:hanging="284"/>
      </w:pPr>
      <w:rPr>
        <w:rFonts w:hint="default" w:ascii="Symbol" w:hAnsi="Symbol" w:eastAsia="Symbol" w:cs="Symbol"/>
        <w:b w:val="0"/>
        <w:bCs w:val="0"/>
        <w:i w:val="0"/>
        <w:iCs w:val="0"/>
        <w:spacing w:val="0"/>
        <w:w w:val="60"/>
        <w:sz w:val="20"/>
        <w:szCs w:val="20"/>
        <w:lang w:val="de-DE" w:eastAsia="en-US" w:bidi="ar-SA"/>
      </w:rPr>
    </w:lvl>
    <w:lvl w:ilvl="1">
      <w:start w:val="0"/>
      <w:numFmt w:val="bullet"/>
      <w:lvlText w:val="•"/>
      <w:lvlJc w:val="left"/>
      <w:pPr>
        <w:ind w:left="1159" w:hanging="284"/>
      </w:pPr>
      <w:rPr>
        <w:rFonts w:hint="default"/>
        <w:lang w:val="de-DE" w:eastAsia="en-US" w:bidi="ar-SA"/>
      </w:rPr>
    </w:lvl>
    <w:lvl w:ilvl="2">
      <w:start w:val="0"/>
      <w:numFmt w:val="bullet"/>
      <w:lvlText w:val="•"/>
      <w:lvlJc w:val="left"/>
      <w:pPr>
        <w:ind w:left="2038" w:hanging="284"/>
      </w:pPr>
      <w:rPr>
        <w:rFonts w:hint="default"/>
        <w:lang w:val="de-DE" w:eastAsia="en-US" w:bidi="ar-SA"/>
      </w:rPr>
    </w:lvl>
    <w:lvl w:ilvl="3">
      <w:start w:val="0"/>
      <w:numFmt w:val="bullet"/>
      <w:lvlText w:val="•"/>
      <w:lvlJc w:val="left"/>
      <w:pPr>
        <w:ind w:left="2917" w:hanging="284"/>
      </w:pPr>
      <w:rPr>
        <w:rFonts w:hint="default"/>
        <w:lang w:val="de-DE" w:eastAsia="en-US" w:bidi="ar-SA"/>
      </w:rPr>
    </w:lvl>
    <w:lvl w:ilvl="4">
      <w:start w:val="0"/>
      <w:numFmt w:val="bullet"/>
      <w:lvlText w:val="•"/>
      <w:lvlJc w:val="left"/>
      <w:pPr>
        <w:ind w:left="3796" w:hanging="284"/>
      </w:pPr>
      <w:rPr>
        <w:rFonts w:hint="default"/>
        <w:lang w:val="de-DE" w:eastAsia="en-US" w:bidi="ar-SA"/>
      </w:rPr>
    </w:lvl>
    <w:lvl w:ilvl="5">
      <w:start w:val="0"/>
      <w:numFmt w:val="bullet"/>
      <w:lvlText w:val="•"/>
      <w:lvlJc w:val="left"/>
      <w:pPr>
        <w:ind w:left="4676" w:hanging="284"/>
      </w:pPr>
      <w:rPr>
        <w:rFonts w:hint="default"/>
        <w:lang w:val="de-DE" w:eastAsia="en-US" w:bidi="ar-SA"/>
      </w:rPr>
    </w:lvl>
    <w:lvl w:ilvl="6">
      <w:start w:val="0"/>
      <w:numFmt w:val="bullet"/>
      <w:lvlText w:val="•"/>
      <w:lvlJc w:val="left"/>
      <w:pPr>
        <w:ind w:left="5555" w:hanging="284"/>
      </w:pPr>
      <w:rPr>
        <w:rFonts w:hint="default"/>
        <w:lang w:val="de-DE" w:eastAsia="en-US" w:bidi="ar-SA"/>
      </w:rPr>
    </w:lvl>
    <w:lvl w:ilvl="7">
      <w:start w:val="0"/>
      <w:numFmt w:val="bullet"/>
      <w:lvlText w:val="•"/>
      <w:lvlJc w:val="left"/>
      <w:pPr>
        <w:ind w:left="6434" w:hanging="284"/>
      </w:pPr>
      <w:rPr>
        <w:rFonts w:hint="default"/>
        <w:lang w:val="de-DE" w:eastAsia="en-US" w:bidi="ar-SA"/>
      </w:rPr>
    </w:lvl>
    <w:lvl w:ilvl="8">
      <w:start w:val="0"/>
      <w:numFmt w:val="bullet"/>
      <w:lvlText w:val="•"/>
      <w:lvlJc w:val="left"/>
      <w:pPr>
        <w:ind w:left="7313" w:hanging="284"/>
      </w:pPr>
      <w:rPr>
        <w:rFonts w:hint="default"/>
        <w:lang w:val="de-DE"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spacing w:line="238" w:lineRule="exact"/>
      <w:ind w:left="286" w:hanging="283"/>
    </w:pPr>
    <w:rPr>
      <w:rFonts w:ascii="Arial" w:hAnsi="Arial" w:eastAsia="Arial" w:cs="Arial"/>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www.researchgate.net/publication/376407560_Der_Windatlas_Baden-Wurttemberg_2019_und_der_bayerische_Windatlas_2021_im_direkten_Vergleich_entlang_der_Landesgrenze?channel=doi&amp;linkId=65773693ea5f7f02055f8238&amp;showFulltext=true"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2025-05-08T14:01:23Z</dcterms:created>
  <dcterms:modified xsi:type="dcterms:W3CDTF">2025-05-08T14:01:23Z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